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A" w:rsidRPr="00AB6977" w:rsidRDefault="003D0E8A" w:rsidP="003D0E8A">
      <w:pPr>
        <w:jc w:val="center"/>
        <w:rPr>
          <w:rFonts w:ascii="Arial" w:eastAsiaTheme="minorHAnsi" w:hAnsi="Arial" w:cs="Arial"/>
          <w:b/>
          <w:lang w:eastAsia="en-US"/>
        </w:rPr>
      </w:pPr>
      <w:r w:rsidRPr="00AB6977">
        <w:rPr>
          <w:rFonts w:ascii="Arial" w:eastAsiaTheme="minorHAnsi" w:hAnsi="Arial" w:cs="Arial"/>
          <w:b/>
          <w:lang w:eastAsia="en-US"/>
        </w:rPr>
        <w:t>АДМИНИСТРАЦИЯ</w:t>
      </w:r>
    </w:p>
    <w:p w:rsidR="003D0E8A" w:rsidRPr="00AB6977" w:rsidRDefault="003D0E8A" w:rsidP="003D0E8A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AB6977"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3D0E8A" w:rsidRPr="00AB6977" w:rsidRDefault="003D0E8A" w:rsidP="003D0E8A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AB6977"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3D0E8A" w:rsidRPr="00AB6977" w:rsidRDefault="003D0E8A" w:rsidP="003D0E8A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AB6977"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3D0E8A" w:rsidRPr="00AB6977" w:rsidRDefault="003D0E8A" w:rsidP="003D0E8A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>______________________________________________________________________</w:t>
      </w: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 xml:space="preserve">                                                  ПОСТАНОВЛЕНИЕ                               </w:t>
      </w:r>
    </w:p>
    <w:p w:rsidR="003D0E8A" w:rsidRPr="00AB6977" w:rsidRDefault="003D0E8A" w:rsidP="003D0E8A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>от       21.07. 2023 г.                                                                                  № 30</w:t>
      </w:r>
    </w:p>
    <w:p w:rsidR="003D0E8A" w:rsidRPr="00AB6977" w:rsidRDefault="003D0E8A" w:rsidP="003D0E8A">
      <w:pPr>
        <w:ind w:right="-521"/>
        <w:rPr>
          <w:rFonts w:ascii="Arial" w:hAnsi="Arial" w:cs="Arial"/>
          <w:b/>
          <w:bCs/>
        </w:rPr>
      </w:pP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line="276" w:lineRule="auto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3D0E8A" w:rsidRPr="00AB6977" w:rsidRDefault="003D0E8A" w:rsidP="003D0E8A">
      <w:pPr>
        <w:spacing w:line="276" w:lineRule="auto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>бюджета Родничковского сельского поселения</w:t>
      </w:r>
    </w:p>
    <w:p w:rsidR="003D0E8A" w:rsidRPr="00AB6977" w:rsidRDefault="003D0E8A" w:rsidP="003D0E8A">
      <w:pPr>
        <w:spacing w:line="276" w:lineRule="auto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>за   1 полугодие  2023  года</w:t>
      </w:r>
    </w:p>
    <w:p w:rsidR="003D0E8A" w:rsidRPr="00AB6977" w:rsidRDefault="003D0E8A" w:rsidP="003D0E8A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 xml:space="preserve">        В целях реализации п.</w:t>
      </w:r>
      <w:r w:rsidR="00AB6977">
        <w:rPr>
          <w:rFonts w:ascii="Arial" w:eastAsiaTheme="minorHAnsi" w:hAnsi="Arial" w:cs="Arial"/>
          <w:lang w:eastAsia="en-US"/>
        </w:rPr>
        <w:t xml:space="preserve"> </w:t>
      </w:r>
      <w:r w:rsidRPr="00AB6977">
        <w:rPr>
          <w:rFonts w:ascii="Arial" w:eastAsiaTheme="minorHAnsi" w:hAnsi="Arial" w:cs="Arial"/>
          <w:lang w:eastAsia="en-US"/>
        </w:rPr>
        <w:t xml:space="preserve">5 ст. 264.2 Бюджетного кодекса Российской Федерации </w:t>
      </w: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>ПОСТАНОВЛЯЮ:</w:t>
      </w:r>
    </w:p>
    <w:p w:rsidR="003D0E8A" w:rsidRPr="00AB6977" w:rsidRDefault="003D0E8A" w:rsidP="003D0E8A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>Утвердить «Отчет об исполнении бюджета Родничковского сельского поселения за 1 полугодие  2023  года» в соответствии с приложением.</w:t>
      </w:r>
    </w:p>
    <w:p w:rsidR="003D0E8A" w:rsidRPr="00AB6977" w:rsidRDefault="003D0E8A" w:rsidP="003D0E8A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>Настоящее Пост</w:t>
      </w:r>
      <w:r w:rsidR="00325EFE">
        <w:rPr>
          <w:rFonts w:ascii="Arial" w:eastAsiaTheme="minorHAnsi" w:hAnsi="Arial" w:cs="Arial"/>
          <w:lang w:eastAsia="en-US"/>
        </w:rPr>
        <w:t>ановление подлежит обнародованию</w:t>
      </w:r>
      <w:r w:rsidR="00805D22">
        <w:rPr>
          <w:rFonts w:ascii="Arial" w:eastAsiaTheme="minorHAnsi" w:hAnsi="Arial" w:cs="Arial"/>
          <w:lang w:eastAsia="en-US"/>
        </w:rPr>
        <w:t xml:space="preserve"> </w:t>
      </w:r>
      <w:r w:rsidRPr="00AB6977">
        <w:rPr>
          <w:rFonts w:ascii="Arial" w:eastAsiaTheme="minorHAnsi" w:hAnsi="Arial" w:cs="Arial"/>
          <w:lang w:eastAsia="en-US"/>
        </w:rPr>
        <w:t xml:space="preserve"> в установленном порядке.</w:t>
      </w: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line="276" w:lineRule="auto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>Глава Родничковского     сельского поселения                            С.Н. Шведов</w:t>
      </w:r>
    </w:p>
    <w:p w:rsidR="003D0E8A" w:rsidRPr="00AB6977" w:rsidRDefault="003D0E8A" w:rsidP="003D0E8A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3D0E8A" w:rsidRDefault="003D0E8A" w:rsidP="003D0E8A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AB6977" w:rsidRPr="00AB6977" w:rsidRDefault="00AB6977" w:rsidP="003D0E8A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pStyle w:val="a3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 xml:space="preserve">                                                            </w:t>
      </w:r>
    </w:p>
    <w:p w:rsidR="003D0E8A" w:rsidRPr="00AB6977" w:rsidRDefault="003D0E8A" w:rsidP="003D0E8A">
      <w:pPr>
        <w:pStyle w:val="a3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pStyle w:val="a3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lastRenderedPageBreak/>
        <w:t xml:space="preserve">                                                                      Приложение №1 к Постановлению главы</w:t>
      </w:r>
    </w:p>
    <w:p w:rsidR="003D0E8A" w:rsidRPr="00AB6977" w:rsidRDefault="003D0E8A" w:rsidP="003D0E8A">
      <w:pPr>
        <w:pStyle w:val="a3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3D0E8A" w:rsidRPr="00AB6977" w:rsidRDefault="003D0E8A" w:rsidP="003D0E8A">
      <w:pPr>
        <w:pStyle w:val="a3"/>
        <w:rPr>
          <w:rFonts w:ascii="Arial" w:eastAsiaTheme="minorHAnsi" w:hAnsi="Arial" w:cs="Arial"/>
          <w:lang w:eastAsia="en-US"/>
        </w:rPr>
      </w:pPr>
      <w:r w:rsidRPr="00AB6977">
        <w:rPr>
          <w:rFonts w:ascii="Arial" w:eastAsiaTheme="minorHAnsi" w:hAnsi="Arial" w:cs="Arial"/>
          <w:lang w:eastAsia="en-US"/>
        </w:rPr>
        <w:t xml:space="preserve">                                                                      №30     от      21.07.2023 года</w:t>
      </w:r>
    </w:p>
    <w:p w:rsidR="003D0E8A" w:rsidRPr="00AB6977" w:rsidRDefault="003D0E8A" w:rsidP="003D0E8A">
      <w:pPr>
        <w:pStyle w:val="a3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pStyle w:val="a3"/>
        <w:rPr>
          <w:rFonts w:ascii="Arial" w:eastAsiaTheme="minorHAnsi" w:hAnsi="Arial" w:cs="Arial"/>
          <w:lang w:eastAsia="en-US"/>
        </w:rPr>
      </w:pPr>
    </w:p>
    <w:p w:rsidR="003D0E8A" w:rsidRPr="00AB6977" w:rsidRDefault="003D0E8A" w:rsidP="003D0E8A">
      <w:pPr>
        <w:pStyle w:val="a3"/>
        <w:jc w:val="both"/>
        <w:rPr>
          <w:rFonts w:ascii="Arial" w:hAnsi="Arial" w:cs="Arial"/>
          <w:b/>
          <w:bCs/>
        </w:rPr>
      </w:pP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          Отчет об исполнении бюджета    за  1 полугодие  2023 года.     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>За  1 полугодие   2023  года общая сумма доходов бюджета Родничковского сельского поселения составила  5 602,90 тыс. рублей или  45,8  % к   плану</w:t>
      </w:r>
      <w:proofErr w:type="gramStart"/>
      <w:r w:rsidRPr="00AB6977">
        <w:rPr>
          <w:rFonts w:ascii="Arial" w:hAnsi="Arial" w:cs="Arial"/>
        </w:rPr>
        <w:t xml:space="preserve"> ,</w:t>
      </w:r>
      <w:proofErr w:type="gramEnd"/>
      <w:r w:rsidRPr="00AB6977">
        <w:rPr>
          <w:rFonts w:ascii="Arial" w:hAnsi="Arial" w:cs="Arial"/>
        </w:rPr>
        <w:t xml:space="preserve">   в том числе: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  -   собственные доходы  - 4 873,9 тыс. рублей или  52,4 % к     плану</w:t>
      </w:r>
      <w:proofErr w:type="gramStart"/>
      <w:r w:rsidRPr="00AB6977">
        <w:rPr>
          <w:rFonts w:ascii="Arial" w:hAnsi="Arial" w:cs="Arial"/>
        </w:rPr>
        <w:t xml:space="preserve"> ,</w:t>
      </w:r>
      <w:proofErr w:type="gramEnd"/>
      <w:r w:rsidRPr="00AB6977">
        <w:rPr>
          <w:rFonts w:ascii="Arial" w:hAnsi="Arial" w:cs="Arial"/>
        </w:rPr>
        <w:t xml:space="preserve"> из них :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  -   налоговые  доходы  -  4239,9  тыс. рублей или  53,3 %  к плану;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  -   неналоговые  доходы  - 634,0  тыс. рублей или 47,5  %  к плану;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  -   безвозмездные поступления  -  729,0  тыс. рублей  или 24,7  % к плану;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из них: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  -   дотации бюджетам сельских поселений на выравнивание бюджетной обеспеченности-    544,5  тыс. рублей или   50 % к плану;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 35,7 тыс. рублей или 50,0  % к плану;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 субъектов РФ –  1,3 тыс. рублей или 52,0  % к плану;    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  - 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соглашениями.- 72,5 тыс. рублей или 15,6 % к плану;</w:t>
      </w:r>
    </w:p>
    <w:p w:rsidR="003D0E8A" w:rsidRPr="00AB6977" w:rsidRDefault="003D0E8A" w:rsidP="003D0E8A">
      <w:pPr>
        <w:pStyle w:val="a3"/>
        <w:jc w:val="both"/>
        <w:rPr>
          <w:rFonts w:ascii="Arial" w:hAnsi="Arial" w:cs="Arial"/>
        </w:rPr>
      </w:pPr>
      <w:r w:rsidRPr="00AB6977">
        <w:rPr>
          <w:rFonts w:ascii="Arial" w:hAnsi="Arial" w:cs="Arial"/>
        </w:rPr>
        <w:t xml:space="preserve">    - прочие межбюджетные трансферты</w:t>
      </w:r>
      <w:proofErr w:type="gramStart"/>
      <w:r w:rsidRPr="00AB6977">
        <w:rPr>
          <w:rFonts w:ascii="Arial" w:hAnsi="Arial" w:cs="Arial"/>
        </w:rPr>
        <w:t xml:space="preserve"> ,</w:t>
      </w:r>
      <w:proofErr w:type="gramEnd"/>
      <w:r w:rsidRPr="00AB6977">
        <w:rPr>
          <w:rFonts w:ascii="Arial" w:hAnsi="Arial" w:cs="Arial"/>
        </w:rPr>
        <w:t xml:space="preserve"> передаваемые бюджетам сельских поселений – 75,0 тыс. рублей или 50,0 % к плану.</w:t>
      </w:r>
    </w:p>
    <w:p w:rsidR="003D0E8A" w:rsidRPr="00AB6977" w:rsidRDefault="003D0E8A" w:rsidP="003D0E8A">
      <w:pPr>
        <w:pStyle w:val="a3"/>
        <w:rPr>
          <w:rFonts w:ascii="Arial" w:hAnsi="Arial" w:cs="Arial"/>
        </w:rPr>
      </w:pPr>
      <w:r w:rsidRPr="00AB6977"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3D0E8A" w:rsidRPr="00AB6977" w:rsidRDefault="003D0E8A" w:rsidP="003D0E8A">
      <w:pPr>
        <w:ind w:right="-1186"/>
        <w:jc w:val="both"/>
        <w:rPr>
          <w:rFonts w:ascii="Arial" w:hAnsi="Arial" w:cs="Arial"/>
        </w:rPr>
      </w:pPr>
    </w:p>
    <w:p w:rsidR="003D0E8A" w:rsidRPr="00AB6977" w:rsidRDefault="003D0E8A" w:rsidP="003D0E8A">
      <w:pPr>
        <w:jc w:val="both"/>
        <w:rPr>
          <w:rFonts w:ascii="Arial" w:hAnsi="Arial" w:cs="Arial"/>
          <w:bCs/>
        </w:rPr>
      </w:pPr>
      <w:r w:rsidRPr="00AB6977">
        <w:rPr>
          <w:rFonts w:ascii="Arial" w:hAnsi="Arial" w:cs="Arial"/>
          <w:bCs/>
        </w:rPr>
        <w:t>Доходы  Родничковского сельского поселения за 1  полугодие   2023  года.</w:t>
      </w:r>
    </w:p>
    <w:p w:rsidR="003D0E8A" w:rsidRPr="00AB6977" w:rsidRDefault="003D0E8A" w:rsidP="003D0E8A">
      <w:pPr>
        <w:jc w:val="both"/>
        <w:rPr>
          <w:rFonts w:ascii="Arial" w:hAnsi="Arial" w:cs="Arial"/>
          <w:b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843"/>
        <w:gridCol w:w="1699"/>
      </w:tblGrid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План    на 2023 год</w:t>
            </w:r>
          </w:p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Исполнение за 1 полугодие 2023 года</w:t>
            </w:r>
          </w:p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Процент  поступлений к   плану  2023 года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>9292,9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 xml:space="preserve">   4873,9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 xml:space="preserve">     52,4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>7956,9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 xml:space="preserve">   4239,9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 xml:space="preserve">     53,3</w:t>
            </w:r>
          </w:p>
        </w:tc>
      </w:tr>
      <w:tr w:rsidR="003D0E8A" w:rsidRPr="00AB6977" w:rsidTr="009677C5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AB6977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AB6977"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1 679,7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450,6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26,8</w:t>
            </w:r>
          </w:p>
        </w:tc>
      </w:tr>
      <w:tr w:rsidR="003D0E8A" w:rsidRPr="00AB6977" w:rsidTr="009677C5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30,0</w:t>
            </w:r>
          </w:p>
        </w:tc>
      </w:tr>
      <w:tr w:rsidR="003D0E8A" w:rsidRPr="00AB6977" w:rsidTr="009677C5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lastRenderedPageBreak/>
              <w:t>Налог на доходы физических лиц части суммы налога, превышающей 650 000 рублей, относящейся к части налоговой базы, превышающей 5 000 000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498,1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- 78,5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-15,8</w:t>
            </w:r>
          </w:p>
        </w:tc>
      </w:tr>
      <w:tr w:rsidR="003D0E8A" w:rsidRPr="00AB6977" w:rsidTr="009677C5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Налог на доходы  физических лиц в отношении доходов от долевого участия в организации, полученных в виде дивидендов </w:t>
            </w:r>
            <w:proofErr w:type="gramStart"/>
            <w:r w:rsidRPr="00AB6977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AB6977">
              <w:rPr>
                <w:rFonts w:ascii="Arial" w:hAnsi="Arial" w:cs="Arial"/>
                <w:lang w:eastAsia="en-US"/>
              </w:rPr>
              <w:t>в части суммы налога, не превышающей 650 000 рублей).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1410,0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1409,3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100</w:t>
            </w:r>
          </w:p>
        </w:tc>
      </w:tr>
      <w:tr w:rsidR="003D0E8A" w:rsidRPr="00AB6977" w:rsidTr="009677C5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>443,0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 xml:space="preserve">  268,2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 xml:space="preserve">    60,5</w:t>
            </w:r>
          </w:p>
        </w:tc>
      </w:tr>
      <w:tr w:rsidR="003D0E8A" w:rsidRPr="00AB6977" w:rsidTr="009677C5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 w:rsidRPr="00AB6977">
              <w:rPr>
                <w:rFonts w:ascii="Arial" w:hAnsi="Arial" w:cs="Arial"/>
                <w:lang w:eastAsia="en-US"/>
              </w:rPr>
              <w:t>диз</w:t>
            </w:r>
            <w:proofErr w:type="gramStart"/>
            <w:r w:rsidRPr="00AB6977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AB6977"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 w:rsidRPr="00AB6977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209,8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138,3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65,9</w:t>
            </w:r>
          </w:p>
        </w:tc>
      </w:tr>
      <w:tr w:rsidR="003D0E8A" w:rsidRPr="00AB6977" w:rsidTr="009677C5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46,7</w:t>
            </w:r>
          </w:p>
        </w:tc>
      </w:tr>
      <w:tr w:rsidR="003D0E8A" w:rsidRPr="00AB6977" w:rsidTr="009677C5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259,4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146,5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56,5</w:t>
            </w:r>
          </w:p>
        </w:tc>
      </w:tr>
      <w:tr w:rsidR="003D0E8A" w:rsidRPr="00AB6977" w:rsidTr="009677C5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- 27,7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- 17,3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62,5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716,1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863,8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120,6</w:t>
            </w:r>
          </w:p>
        </w:tc>
      </w:tr>
      <w:tr w:rsidR="003D0E8A" w:rsidRPr="00AB6977" w:rsidTr="009677C5">
        <w:trPr>
          <w:trHeight w:val="7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-1,3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-3,4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1 874,0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1274,8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68,0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1 297,0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52,8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4,1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Земельный налог </w:t>
            </w:r>
            <w:proofErr w:type="gramStart"/>
            <w:r w:rsidRPr="00AB6977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AB6977">
              <w:rPr>
                <w:rFonts w:ascii="Arial" w:hAnsi="Arial" w:cs="Arial"/>
                <w:lang w:eastAsia="en-US"/>
              </w:rPr>
              <w:t>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-  0,1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>1 336,0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 xml:space="preserve">    634,0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 xml:space="preserve">   47,5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lastRenderedPageBreak/>
              <w:t>Доходы</w:t>
            </w:r>
            <w:proofErr w:type="gramStart"/>
            <w:r w:rsidRPr="00AB6977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B6977"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910,2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612,5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67,3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12,6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57,8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389,8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1,3</w:t>
            </w:r>
          </w:p>
          <w:p w:rsidR="003D0E8A" w:rsidRPr="00AB6977" w:rsidRDefault="003D0E8A" w:rsidP="009677C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0,3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0,2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100,0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Доходы  от суммы пеней, предусмотренных законодательством РФ о налогах и сборах, подлежащие зачислению в бюджеты  субъектов РФ по нормативу установленному  БК РФ, распределяемые Федеральным  казначейством между бюджетами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7,4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52,9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>2 952,35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 xml:space="preserve">      729,0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 xml:space="preserve">     24,7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AB6977">
              <w:rPr>
                <w:rFonts w:ascii="Arial" w:hAnsi="Arial" w:cs="Arial"/>
                <w:lang w:val="en-US" w:eastAsia="en-US"/>
              </w:rPr>
              <w:t>1 089.0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544,5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50,0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AB6977">
              <w:rPr>
                <w:rFonts w:ascii="Arial" w:hAnsi="Arial" w:cs="Arial"/>
                <w:lang w:val="en-US" w:eastAsia="en-US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 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52,0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AB6977">
              <w:rPr>
                <w:rFonts w:ascii="Arial" w:hAnsi="Arial" w:cs="Arial"/>
                <w:lang w:val="en-US" w:eastAsia="en-US"/>
              </w:rPr>
              <w:t>71.4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35,7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50,0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AB6977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B6977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AB6977">
              <w:rPr>
                <w:rFonts w:ascii="Arial" w:hAnsi="Arial" w:cs="Arial"/>
                <w:lang w:val="en-US" w:eastAsia="en-US"/>
              </w:rPr>
              <w:t>466.0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72,5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15,6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AB6977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B6977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AB6977">
              <w:rPr>
                <w:rFonts w:ascii="Arial" w:hAnsi="Arial" w:cs="Arial"/>
                <w:lang w:val="en-US" w:eastAsia="en-US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   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Межбюджетные  трансферты</w:t>
            </w:r>
            <w:proofErr w:type="gramStart"/>
            <w:r w:rsidRPr="00AB6977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B6977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из бюджета муниципального района (Устройство щебеночного покрытия центральной части поселка   Роднички (ул. Ленина) Нехаевского района).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   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lastRenderedPageBreak/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   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   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  75,0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 xml:space="preserve">    50,0</w:t>
            </w: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B6977">
              <w:rPr>
                <w:rFonts w:ascii="Arial" w:hAnsi="Arial" w:cs="Arial"/>
                <w:lang w:eastAsia="en-US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D0E8A" w:rsidRPr="00AB6977" w:rsidTr="009677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>12 245,25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6977">
              <w:rPr>
                <w:rFonts w:ascii="Arial" w:hAnsi="Arial" w:cs="Arial"/>
                <w:b/>
                <w:bCs/>
                <w:lang w:eastAsia="en-US"/>
              </w:rPr>
              <w:t xml:space="preserve">     5 602,90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8A" w:rsidRPr="00AB6977" w:rsidRDefault="003D0E8A" w:rsidP="009677C5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AB6977">
              <w:rPr>
                <w:rFonts w:ascii="Arial" w:hAnsi="Arial" w:cs="Arial"/>
                <w:bCs/>
                <w:lang w:eastAsia="en-US"/>
              </w:rPr>
              <w:t xml:space="preserve">     45,8</w:t>
            </w:r>
          </w:p>
        </w:tc>
      </w:tr>
    </w:tbl>
    <w:p w:rsidR="003D0E8A" w:rsidRPr="00AB6977" w:rsidRDefault="003D0E8A" w:rsidP="003D0E8A">
      <w:pPr>
        <w:rPr>
          <w:rFonts w:ascii="Arial" w:hAnsi="Arial" w:cs="Arial"/>
        </w:rPr>
      </w:pPr>
    </w:p>
    <w:p w:rsidR="003D0E8A" w:rsidRPr="00AB6977" w:rsidRDefault="003D0E8A" w:rsidP="003D0E8A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AB6977">
        <w:rPr>
          <w:rFonts w:ascii="Arial" w:eastAsia="Calibri" w:hAnsi="Arial" w:cs="Arial"/>
          <w:lang w:eastAsia="en-US"/>
        </w:rPr>
        <w:t>Полученные доходы за 1 полугодие  2023 г. направлены на финансирование следующих отраслей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454"/>
        <w:gridCol w:w="1417"/>
        <w:gridCol w:w="1418"/>
        <w:gridCol w:w="2268"/>
      </w:tblGrid>
      <w:tr w:rsidR="003D0E8A" w:rsidRPr="00AB6977" w:rsidTr="009677C5">
        <w:trPr>
          <w:trHeight w:val="12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План на 2023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Исполнение за 1 полугодие</w:t>
            </w:r>
          </w:p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2023 год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Исполнение за 1 полугодие</w:t>
            </w:r>
            <w:proofErr w:type="gramStart"/>
            <w:r w:rsidRPr="00AB6977">
              <w:rPr>
                <w:rFonts w:ascii="Arial" w:eastAsia="Calibri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3D0E8A" w:rsidRPr="00AB6977" w:rsidTr="009677C5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6888,8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3383,6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49,1</w:t>
            </w:r>
          </w:p>
        </w:tc>
      </w:tr>
      <w:tr w:rsidR="003D0E8A" w:rsidRPr="00AB6977" w:rsidTr="009677C5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891,0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501,3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56,3</w:t>
            </w:r>
          </w:p>
        </w:tc>
      </w:tr>
      <w:tr w:rsidR="003D0E8A" w:rsidRPr="00AB6977" w:rsidTr="009677C5">
        <w:trPr>
          <w:trHeight w:val="51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1607,2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744,1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46,3</w:t>
            </w:r>
          </w:p>
        </w:tc>
      </w:tr>
      <w:tr w:rsidR="003D0E8A" w:rsidRPr="00AB6977" w:rsidTr="009677C5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43,3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D0E8A" w:rsidRPr="00AB6977" w:rsidTr="009677C5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Проведение выборов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D0E8A" w:rsidRPr="00AB6977" w:rsidTr="009677C5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3D0E8A" w:rsidRPr="00AB6977" w:rsidTr="009677C5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4186,8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1984,4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47,4</w:t>
            </w:r>
          </w:p>
        </w:tc>
      </w:tr>
      <w:tr w:rsidR="003D0E8A" w:rsidRPr="00AB6977" w:rsidTr="009677C5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35,7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50</w:t>
            </w:r>
          </w:p>
        </w:tc>
      </w:tr>
      <w:tr w:rsidR="003D0E8A" w:rsidRPr="00AB6977" w:rsidTr="009677C5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35,7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50</w:t>
            </w:r>
          </w:p>
        </w:tc>
      </w:tr>
      <w:tr w:rsidR="003D0E8A" w:rsidRPr="00AB6977" w:rsidTr="009677C5">
        <w:trPr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224,3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65,8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29,3</w:t>
            </w:r>
          </w:p>
        </w:tc>
      </w:tr>
      <w:tr w:rsidR="003D0E8A" w:rsidRPr="00AB6977" w:rsidTr="009677C5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223,5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52,0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23,2</w:t>
            </w:r>
          </w:p>
        </w:tc>
      </w:tr>
      <w:tr w:rsidR="003D0E8A" w:rsidRPr="00AB6977" w:rsidTr="009677C5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 xml:space="preserve">Другие вопросы в области </w:t>
            </w:r>
            <w:r w:rsidRPr="00AB6977">
              <w:rPr>
                <w:rFonts w:ascii="Arial" w:eastAsia="Calibri" w:hAnsi="Arial" w:cs="Arial"/>
                <w:lang w:eastAsia="en-US"/>
              </w:rPr>
              <w:lastRenderedPageBreak/>
              <w:t>национальной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lastRenderedPageBreak/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3D0E8A" w:rsidRPr="00AB6977" w:rsidTr="009677C5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lang w:eastAsia="en-US"/>
              </w:rPr>
              <w:t>2163,8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lang w:eastAsia="en-US"/>
              </w:rPr>
              <w:t>74,0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3,4</w:t>
            </w:r>
          </w:p>
        </w:tc>
      </w:tr>
      <w:tr w:rsidR="003D0E8A" w:rsidRPr="00AB6977" w:rsidTr="009677C5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1803,8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74,0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4,1</w:t>
            </w:r>
          </w:p>
        </w:tc>
      </w:tr>
      <w:tr w:rsidR="003D0E8A" w:rsidRPr="00AB6977" w:rsidTr="009677C5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3D0E8A" w:rsidRPr="00AB6977" w:rsidTr="009677C5">
        <w:trPr>
          <w:trHeight w:val="4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Жилищно-коммунальное хозяйство, из них</w:t>
            </w:r>
            <w:proofErr w:type="gramStart"/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5272,57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2146,7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40,7</w:t>
            </w:r>
          </w:p>
        </w:tc>
      </w:tr>
      <w:tr w:rsidR="003D0E8A" w:rsidRPr="00AB6977" w:rsidTr="009677C5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2840,62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1029,9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36,2</w:t>
            </w:r>
          </w:p>
        </w:tc>
      </w:tr>
      <w:tr w:rsidR="003D0E8A" w:rsidRPr="00AB6977" w:rsidTr="009677C5">
        <w:trPr>
          <w:trHeight w:val="5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 w:rsidRPr="00AB6977"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AB6977"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553,7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210,4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38,0</w:t>
            </w:r>
          </w:p>
        </w:tc>
      </w:tr>
      <w:tr w:rsidR="003D0E8A" w:rsidRPr="00AB6977" w:rsidTr="009677C5">
        <w:trPr>
          <w:trHeight w:val="4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  <w:r w:rsidRPr="00AB6977">
              <w:rPr>
                <w:rFonts w:ascii="Arial" w:eastAsia="Calibri" w:hAnsi="Arial" w:cs="Arial"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1878,25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906,4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48,3</w:t>
            </w:r>
          </w:p>
        </w:tc>
      </w:tr>
      <w:tr w:rsidR="003D0E8A" w:rsidRPr="00AB6977" w:rsidTr="009677C5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3D0E8A" w:rsidRPr="00AB6977" w:rsidTr="009677C5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3D0E8A" w:rsidRPr="00AB6977" w:rsidTr="009677C5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123,4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38,9</w:t>
            </w:r>
          </w:p>
        </w:tc>
      </w:tr>
      <w:tr w:rsidR="003D0E8A" w:rsidRPr="00AB6977" w:rsidTr="009677C5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41,7</w:t>
            </w:r>
          </w:p>
        </w:tc>
      </w:tr>
      <w:tr w:rsidR="003D0E8A" w:rsidRPr="00AB6977" w:rsidTr="009677C5">
        <w:trPr>
          <w:trHeight w:val="4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3D0E8A" w:rsidRPr="00AB6977" w:rsidTr="009677C5">
        <w:trPr>
          <w:trHeight w:val="52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3D0E8A" w:rsidRPr="00AB6977" w:rsidTr="009677C5">
        <w:trPr>
          <w:trHeight w:val="7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AB697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3D0E8A" w:rsidRPr="00AB6977" w:rsidTr="009677C5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14791,07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5753,9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38,9</w:t>
            </w:r>
          </w:p>
        </w:tc>
      </w:tr>
      <w:tr w:rsidR="003D0E8A" w:rsidRPr="00AB6977" w:rsidTr="009677C5">
        <w:trPr>
          <w:trHeight w:val="5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6977">
              <w:rPr>
                <w:rFonts w:ascii="Arial" w:eastAsia="Calibri" w:hAnsi="Arial" w:cs="Arial"/>
                <w:b/>
                <w:bCs/>
                <w:lang w:eastAsia="en-US"/>
              </w:rPr>
              <w:t>(-2545,82)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E8A" w:rsidRPr="00AB6977" w:rsidRDefault="003D0E8A" w:rsidP="009677C5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3D0E8A" w:rsidRPr="00AB6977" w:rsidRDefault="003D0E8A" w:rsidP="003D0E8A">
      <w:pPr>
        <w:spacing w:after="200" w:line="276" w:lineRule="auto"/>
        <w:ind w:left="720"/>
        <w:rPr>
          <w:rFonts w:ascii="Arial" w:eastAsia="Calibri" w:hAnsi="Arial" w:cs="Arial"/>
          <w:lang w:eastAsia="en-US"/>
        </w:rPr>
      </w:pPr>
    </w:p>
    <w:p w:rsidR="003D0E8A" w:rsidRPr="00AB6977" w:rsidRDefault="003D0E8A" w:rsidP="003D0E8A">
      <w:pPr>
        <w:rPr>
          <w:rFonts w:ascii="Arial" w:hAnsi="Arial" w:cs="Arial"/>
        </w:rPr>
      </w:pPr>
    </w:p>
    <w:p w:rsidR="003D0E8A" w:rsidRPr="00AB6977" w:rsidRDefault="003D0E8A" w:rsidP="003D0E8A">
      <w:pPr>
        <w:jc w:val="both"/>
        <w:rPr>
          <w:rFonts w:ascii="Arial" w:hAnsi="Arial" w:cs="Arial"/>
          <w:b/>
        </w:rPr>
      </w:pPr>
    </w:p>
    <w:p w:rsidR="00B51C16" w:rsidRPr="00AB6977" w:rsidRDefault="00B51C16">
      <w:pPr>
        <w:rPr>
          <w:rFonts w:ascii="Arial" w:hAnsi="Arial" w:cs="Arial"/>
        </w:rPr>
      </w:pPr>
    </w:p>
    <w:sectPr w:rsidR="00B51C16" w:rsidRPr="00AB6977" w:rsidSect="00BB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18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5"/>
    <w:rsid w:val="00325EFE"/>
    <w:rsid w:val="003D0E8A"/>
    <w:rsid w:val="004C4A05"/>
    <w:rsid w:val="00805D22"/>
    <w:rsid w:val="00AB6977"/>
    <w:rsid w:val="00B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2023-07-31T11:32:00Z</cp:lastPrinted>
  <dcterms:created xsi:type="dcterms:W3CDTF">2023-07-25T11:53:00Z</dcterms:created>
  <dcterms:modified xsi:type="dcterms:W3CDTF">2023-07-31T11:37:00Z</dcterms:modified>
</cp:coreProperties>
</file>