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47" w:rsidRDefault="00931F8A">
      <w:pPr>
        <w:keepNext/>
        <w:tabs>
          <w:tab w:val="left" w:pos="0"/>
        </w:tabs>
        <w:ind w:right="-760"/>
        <w:outlineLvl w:val="0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           СОВЕТ ДЕПУТАТОВ</w:t>
      </w:r>
    </w:p>
    <w:p w:rsidR="00C91D47" w:rsidRDefault="00931F8A">
      <w:pPr>
        <w:keepNext/>
        <w:tabs>
          <w:tab w:val="left" w:pos="0"/>
        </w:tabs>
        <w:ind w:right="-1044"/>
        <w:outlineLvl w:val="2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РОДНИЧКОВСКОГО СЕЛЬСКОГО ПОСЕЛЕНИЯ</w:t>
      </w:r>
    </w:p>
    <w:p w:rsidR="00C91D47" w:rsidRDefault="00931F8A">
      <w:pPr>
        <w:keepNext/>
        <w:tabs>
          <w:tab w:val="left" w:pos="0"/>
        </w:tabs>
        <w:ind w:left="720" w:right="-1186" w:hanging="864"/>
        <w:outlineLvl w:val="3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НЕХАЕВСКОГО МУНИЦИПАЛЬНОГО РАЙОНА</w:t>
      </w:r>
    </w:p>
    <w:p w:rsidR="00C91D47" w:rsidRDefault="00931F8A">
      <w:pPr>
        <w:keepNext/>
        <w:tabs>
          <w:tab w:val="left" w:pos="0"/>
        </w:tabs>
        <w:ind w:left="1008" w:hanging="1008"/>
        <w:outlineLvl w:val="4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ВОЛГОГРАДСКОЙ ОБЛАСТИ</w:t>
      </w:r>
    </w:p>
    <w:p w:rsidR="00C91D47" w:rsidRDefault="00931F8A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__________________________________________________________</w:t>
      </w:r>
    </w:p>
    <w:p w:rsidR="00C91D47" w:rsidRDefault="00C91D47">
      <w:pPr>
        <w:jc w:val="center"/>
        <w:rPr>
          <w:rFonts w:ascii="Arial" w:hAnsi="Arial" w:cs="Arial"/>
          <w:lang w:eastAsia="ar-SA"/>
        </w:rPr>
      </w:pPr>
    </w:p>
    <w:p w:rsidR="00C91D47" w:rsidRDefault="00931F8A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                                 РЕШЕНИЕ</w:t>
      </w:r>
    </w:p>
    <w:p w:rsidR="00C91D47" w:rsidRDefault="00C91D47">
      <w:pPr>
        <w:rPr>
          <w:rFonts w:ascii="Arial" w:hAnsi="Arial" w:cs="Arial"/>
        </w:rPr>
      </w:pPr>
    </w:p>
    <w:p w:rsidR="00C91D47" w:rsidRDefault="004261B7">
      <w:pPr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="00931F8A">
        <w:rPr>
          <w:rFonts w:ascii="Arial" w:hAnsi="Arial" w:cs="Arial"/>
        </w:rPr>
        <w:t xml:space="preserve">.11.2024                                                 </w:t>
      </w:r>
      <w:r>
        <w:rPr>
          <w:rFonts w:ascii="Arial" w:hAnsi="Arial" w:cs="Arial"/>
        </w:rPr>
        <w:t xml:space="preserve">                            №4/3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Совета депутатов Родничковского сельского поселения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18.12.2023 г.  №73/1 «Об утверждении бюджета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Родничковского сельского поселения на 2024 год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на  период до 2025 – 2026 года»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В связи с уточнением доходной  части бюджета за счёт поступления  денежных средств Совет депутатов Родничковского сельского поселения</w:t>
      </w: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Статья 1.Внести следующие  изменения в решение Совета депутатов  Родничковского сельского поселения № 73/1 от 18.12.2023 года</w:t>
      </w:r>
    </w:p>
    <w:p w:rsidR="00C91D47" w:rsidRDefault="00931F8A">
      <w:pPr>
        <w:pStyle w:val="af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Статью 1 . Изложить в следующей редакции</w:t>
      </w:r>
      <w:proofErr w:type="gramStart"/>
      <w:r>
        <w:rPr>
          <w:rFonts w:ascii="Arial" w:hAnsi="Arial" w:cs="Arial"/>
        </w:rPr>
        <w:t xml:space="preserve"> :</w:t>
      </w:r>
      <w:proofErr w:type="gramEnd"/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1.Утвердить основные характеристики  бюджета  Родничковского сельского поселения на 2024 г: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прогнозируемый общий  объем доходов в сумме –  </w:t>
      </w:r>
      <w:r>
        <w:rPr>
          <w:rFonts w:ascii="Arial" w:hAnsi="Arial" w:cs="Arial"/>
          <w:color w:val="000000" w:themeColor="text1"/>
        </w:rPr>
        <w:t>13</w:t>
      </w:r>
      <w:r w:rsidR="005E6897">
        <w:rPr>
          <w:rFonts w:ascii="Arial" w:hAnsi="Arial" w:cs="Arial"/>
          <w:color w:val="000000" w:themeColor="text1"/>
        </w:rPr>
        <w:t>9</w:t>
      </w:r>
      <w:r w:rsidR="003A052B">
        <w:rPr>
          <w:rFonts w:ascii="Arial" w:hAnsi="Arial" w:cs="Arial"/>
          <w:color w:val="000000" w:themeColor="text1"/>
        </w:rPr>
        <w:t xml:space="preserve">50,45 </w:t>
      </w:r>
      <w:r>
        <w:rPr>
          <w:rFonts w:ascii="Arial" w:hAnsi="Arial" w:cs="Arial"/>
        </w:rPr>
        <w:t>тыс. рублей, в т</w:t>
      </w:r>
      <w:proofErr w:type="gramStart"/>
      <w:r>
        <w:rPr>
          <w:rFonts w:ascii="Arial" w:hAnsi="Arial" w:cs="Arial"/>
        </w:rPr>
        <w:t>.ч</w:t>
      </w:r>
      <w:proofErr w:type="gramEnd"/>
      <w:r>
        <w:rPr>
          <w:rFonts w:ascii="Arial" w:hAnsi="Arial" w:cs="Arial"/>
        </w:rPr>
        <w:t xml:space="preserve"> : 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-безвозмездные поступления от других бюджетов Российской Федерации в сум</w:t>
      </w:r>
      <w:r w:rsidR="005E6897">
        <w:rPr>
          <w:rFonts w:ascii="Arial" w:hAnsi="Arial" w:cs="Arial"/>
        </w:rPr>
        <w:t>м</w:t>
      </w:r>
      <w:r w:rsidR="003A052B">
        <w:rPr>
          <w:rFonts w:ascii="Arial" w:hAnsi="Arial" w:cs="Arial"/>
        </w:rPr>
        <w:t>е  2 284,25</w:t>
      </w:r>
      <w:r w:rsidR="005E6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тыс. рублей;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общий объем расходов бюджета Родничковского сельского п</w:t>
      </w:r>
      <w:r w:rsidR="00CF6A9D">
        <w:rPr>
          <w:rFonts w:ascii="Arial" w:hAnsi="Arial" w:cs="Arial"/>
          <w:lang w:eastAsia="en-US"/>
        </w:rPr>
        <w:t xml:space="preserve">оселения в сумме  15 910,80 </w:t>
      </w:r>
      <w:r w:rsidR="00FC0D41">
        <w:rPr>
          <w:rFonts w:ascii="Arial" w:hAnsi="Arial" w:cs="Arial"/>
          <w:lang w:eastAsia="en-US"/>
        </w:rPr>
        <w:t>тыс.</w:t>
      </w:r>
      <w:r>
        <w:rPr>
          <w:rFonts w:ascii="Arial" w:hAnsi="Arial" w:cs="Arial"/>
          <w:lang w:eastAsia="en-US"/>
        </w:rPr>
        <w:t xml:space="preserve"> рублей.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Прогнозируемый дефицит  бюджета  Родничковс</w:t>
      </w:r>
      <w:r w:rsidR="00FC0D41">
        <w:rPr>
          <w:rFonts w:ascii="Arial" w:hAnsi="Arial" w:cs="Arial"/>
          <w:lang w:eastAsia="en-US"/>
        </w:rPr>
        <w:t>кого сельского поселения на 2024</w:t>
      </w:r>
      <w:r>
        <w:rPr>
          <w:rFonts w:ascii="Arial" w:hAnsi="Arial" w:cs="Arial"/>
          <w:lang w:eastAsia="en-US"/>
        </w:rPr>
        <w:t xml:space="preserve"> го</w:t>
      </w:r>
      <w:r w:rsidR="00CF6A9D">
        <w:rPr>
          <w:rFonts w:ascii="Arial" w:hAnsi="Arial" w:cs="Arial"/>
          <w:lang w:eastAsia="en-US"/>
        </w:rPr>
        <w:t>д в сумме 1960,35</w:t>
      </w:r>
      <w:r w:rsidR="00FC0D41">
        <w:rPr>
          <w:rFonts w:ascii="Arial" w:hAnsi="Arial" w:cs="Arial"/>
          <w:lang w:eastAsia="en-US"/>
        </w:rPr>
        <w:t xml:space="preserve">. рублей. </w:t>
      </w:r>
    </w:p>
    <w:p w:rsidR="00C91D47" w:rsidRDefault="00C91D47">
      <w:pPr>
        <w:rPr>
          <w:rFonts w:ascii="Arial" w:hAnsi="Arial" w:cs="Arial"/>
          <w:b/>
        </w:rPr>
      </w:pPr>
    </w:p>
    <w:p w:rsidR="00C91D47" w:rsidRDefault="0074186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2. Приложение  №1,5,7,9</w:t>
      </w:r>
      <w:bookmarkStart w:id="0" w:name="_GoBack"/>
      <w:bookmarkEnd w:id="0"/>
      <w:r w:rsidR="00931F8A">
        <w:rPr>
          <w:rFonts w:ascii="Arial" w:hAnsi="Arial" w:cs="Arial"/>
        </w:rPr>
        <w:t xml:space="preserve">  изложить в новой редакции</w:t>
      </w:r>
      <w:r w:rsidR="00931F8A">
        <w:rPr>
          <w:rFonts w:ascii="Arial" w:hAnsi="Arial" w:cs="Arial"/>
          <w:b/>
        </w:rPr>
        <w:t>.</w:t>
      </w: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Глава Родничковского  сельского поселения             Шведов С.Н.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Приложение  № 1  к решению                                                                                                                                                 Совета  депутатов  «Об утверждении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бюджета Родничковского  сельского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поселения </w:t>
      </w:r>
      <w:r w:rsidR="00516995">
        <w:rPr>
          <w:rFonts w:ascii="Arial" w:hAnsi="Arial" w:cs="Arial"/>
        </w:rPr>
        <w:t xml:space="preserve"> на 2024</w:t>
      </w:r>
      <w:r>
        <w:rPr>
          <w:rFonts w:ascii="Arial" w:hAnsi="Arial" w:cs="Arial"/>
        </w:rPr>
        <w:t xml:space="preserve"> год и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516995">
        <w:rPr>
          <w:rFonts w:ascii="Arial" w:hAnsi="Arial" w:cs="Arial"/>
        </w:rPr>
        <w:t xml:space="preserve">            плановый период 2025 - 2026</w:t>
      </w:r>
      <w:r>
        <w:rPr>
          <w:rFonts w:ascii="Arial" w:hAnsi="Arial" w:cs="Arial"/>
        </w:rPr>
        <w:t xml:space="preserve"> годов»                                                                                                                                  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Поступления   доходов в бюджет Родничков</w:t>
      </w:r>
      <w:r w:rsidR="00516995">
        <w:rPr>
          <w:rFonts w:ascii="Arial" w:hAnsi="Arial" w:cs="Arial"/>
        </w:rPr>
        <w:t>ского сельского поселения в 2024</w:t>
      </w:r>
      <w:r>
        <w:rPr>
          <w:rFonts w:ascii="Arial" w:hAnsi="Arial" w:cs="Arial"/>
        </w:rPr>
        <w:t xml:space="preserve"> году </w:t>
      </w:r>
    </w:p>
    <w:tbl>
      <w:tblPr>
        <w:tblStyle w:val="af5"/>
        <w:tblW w:w="99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555"/>
        <w:gridCol w:w="5103"/>
        <w:gridCol w:w="1242"/>
      </w:tblGrid>
      <w:tr w:rsidR="00C91D47">
        <w:trPr>
          <w:trHeight w:val="6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Наименование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</w:p>
          <w:p w:rsidR="00C91D47" w:rsidRDefault="00516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2024</w:t>
            </w:r>
            <w:r w:rsidR="00931F8A">
              <w:rPr>
                <w:rFonts w:ascii="Arial" w:hAnsi="Arial" w:cs="Arial"/>
              </w:rPr>
              <w:t xml:space="preserve"> год (</w:t>
            </w:r>
            <w:proofErr w:type="spellStart"/>
            <w:r w:rsidR="00931F8A">
              <w:rPr>
                <w:rFonts w:ascii="Arial" w:hAnsi="Arial" w:cs="Arial"/>
              </w:rPr>
              <w:t>тыс</w:t>
            </w:r>
            <w:proofErr w:type="gramStart"/>
            <w:r w:rsidR="00931F8A">
              <w:rPr>
                <w:rFonts w:ascii="Arial" w:hAnsi="Arial" w:cs="Arial"/>
              </w:rPr>
              <w:t>.р</w:t>
            </w:r>
            <w:proofErr w:type="gramEnd"/>
            <w:r w:rsidR="00931F8A">
              <w:rPr>
                <w:rFonts w:ascii="Arial" w:hAnsi="Arial" w:cs="Arial"/>
              </w:rPr>
              <w:t>уб</w:t>
            </w:r>
            <w:proofErr w:type="spellEnd"/>
            <w:r w:rsidR="00931F8A">
              <w:rPr>
                <w:rFonts w:ascii="Arial" w:hAnsi="Arial" w:cs="Arial"/>
              </w:rPr>
              <w:t>)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Собственные  доходы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6995">
              <w:rPr>
                <w:rFonts w:ascii="Arial" w:hAnsi="Arial" w:cs="Arial"/>
              </w:rPr>
              <w:t>1 666,2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0A79F1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9 975,1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182. 1.01. 02010.01. 0000.110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 доходов, источником которых является налоговый агент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за исключением доходов 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1 903,7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182.1.01.02030.01.0000.110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 физических лиц с доходов, полученных физическими лицами в соответствии со ст. 228 НК РФ.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182.1.01.02140.01.0000.110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на доходы физических лиц в отношении доходов от долевого участия в организации, полученных в виде  дивидендов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>в части суммы налога, превышающей 650 000 рублей).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3 835,8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1 430,6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100.1.03. 02231. 01. 0000. 110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746,1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100.1.03. 02241. 01. 0000. 110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</w:rPr>
              <w:t>инжекторных</w:t>
            </w:r>
            <w:proofErr w:type="spellEnd"/>
            <w:proofErr w:type="gramStart"/>
            <w:r>
              <w:rPr>
                <w:rFonts w:ascii="Arial" w:hAnsi="Arial" w:cs="Arial"/>
              </w:rPr>
              <w:t>)и</w:t>
            </w:r>
            <w:proofErr w:type="gramEnd"/>
            <w:r>
              <w:rPr>
                <w:rFonts w:ascii="Arial" w:hAnsi="Arial" w:cs="Arial"/>
              </w:rPr>
              <w:t xml:space="preserve"> двигателей,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100.1.03. 02251. 01.0000 .110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100.1.03. 02261. 01. 0000.110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16995">
              <w:rPr>
                <w:rFonts w:ascii="Arial" w:hAnsi="Arial" w:cs="Arial"/>
              </w:rPr>
              <w:t>92,7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182.1.05. 03 010. 01.0000 .110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182.1.06. 01030. 10. 0000. 110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на имущество физических  лиц, взимаемый по ставкам, применяемым к объектам налогообложения, </w:t>
            </w:r>
            <w:r>
              <w:rPr>
                <w:rFonts w:ascii="Arial" w:hAnsi="Arial" w:cs="Arial"/>
              </w:rPr>
              <w:lastRenderedPageBreak/>
              <w:t>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182. 1.06. 06033.10.0000 .110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организаций, обладающих земельным участком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182. 1.06. 06043.10.0000.110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обладающих земельным участком 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1 297,0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E7E78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F4D1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 w:rsidR="00DF4D14">
              <w:rPr>
                <w:rFonts w:ascii="Arial" w:hAnsi="Arial" w:cs="Arial"/>
              </w:rPr>
              <w:t>91,1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1.11. 05025.10. 0000 .120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E7E78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949.1.11. 09045.10.0 000.120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E7E78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949 .1.13. 01995.10.0000.130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E7E78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710,5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949.1.13.02995.10.0000.130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FF39B7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182.1.16.18000.02.0000.140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суммы пеней, предусмотренных законодательством РФ о налогах и сборах, подлежащие зачислению в бюджеты</w:t>
            </w:r>
            <w:r w:rsidR="000A79F1">
              <w:rPr>
                <w:rFonts w:ascii="Arial" w:hAnsi="Arial" w:cs="Arial"/>
              </w:rPr>
              <w:t xml:space="preserve"> субъектов РФ по </w:t>
            </w:r>
            <w:proofErr w:type="gramStart"/>
            <w:r w:rsidR="000A79F1">
              <w:rPr>
                <w:rFonts w:ascii="Arial" w:hAnsi="Arial" w:cs="Arial"/>
              </w:rPr>
              <w:t>нормативу</w:t>
            </w:r>
            <w:proofErr w:type="gramEnd"/>
            <w:r w:rsidR="000A79F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установленному Бюджетным кодексом РФ, распределяемые Федеральным казначейством  между бюджетами субъектов РФ в соответствии с федеральным   законом о федеральном бюджете.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FF39B7" w:rsidRDefault="00FF39B7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515AA">
              <w:rPr>
                <w:rFonts w:ascii="Arial" w:hAnsi="Arial" w:cs="Arial"/>
              </w:rPr>
              <w:t> </w:t>
            </w:r>
            <w:r w:rsidR="00B14D71">
              <w:rPr>
                <w:rFonts w:ascii="Arial" w:hAnsi="Arial" w:cs="Arial"/>
              </w:rPr>
              <w:t>2</w:t>
            </w:r>
            <w:r w:rsidR="002515AA">
              <w:rPr>
                <w:rFonts w:ascii="Arial" w:hAnsi="Arial" w:cs="Arial"/>
              </w:rPr>
              <w:t>84,25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949. 2.02.15001.10.0000.150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4D71">
              <w:rPr>
                <w:rFonts w:ascii="Arial" w:hAnsi="Arial" w:cs="Arial"/>
              </w:rPr>
              <w:t> 228,0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949. 2.02.35118.10.0000.150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B14D71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949 .2.02.30024.10.0000.150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B14D71">
              <w:rPr>
                <w:rFonts w:ascii="Arial" w:hAnsi="Arial" w:cs="Arial"/>
              </w:rPr>
              <w:t>8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Иные межбюджетные трансферты, передаваемые сельским  поселениям  на </w:t>
            </w:r>
            <w:r>
              <w:rPr>
                <w:rFonts w:ascii="Arial" w:hAnsi="Arial" w:cs="Arial"/>
              </w:rPr>
              <w:lastRenderedPageBreak/>
              <w:t>решение вопросов ЖКХ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B14D71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515,0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</w:tr>
      <w:tr w:rsidR="00B14D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 межбюджетные трансферты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передаваемые бюджетам сельских поселений  по программе профилактики правонарушений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14D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 межбюджетные трансферты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передаваемые бюджетам сельских поселений  по программе  занятости подростков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71" w:rsidRDefault="00B1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на содержание объектов благоустройства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515AA">
              <w:rPr>
                <w:rFonts w:ascii="Arial" w:hAnsi="Arial" w:cs="Arial"/>
              </w:rPr>
              <w:t>77,8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   бюджета -   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D41269">
              <w:rPr>
                <w:rFonts w:ascii="Arial" w:hAnsi="Arial" w:cs="Arial"/>
              </w:rPr>
              <w:t>9</w:t>
            </w:r>
            <w:r w:rsidR="002515AA">
              <w:rPr>
                <w:rFonts w:ascii="Arial" w:hAnsi="Arial" w:cs="Arial"/>
              </w:rPr>
              <w:t>50,45</w:t>
            </w:r>
          </w:p>
        </w:tc>
      </w:tr>
    </w:tbl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rPr>
          <w:rFonts w:ascii="Arial" w:hAnsi="Arial" w:cs="Arial"/>
        </w:rPr>
      </w:pPr>
    </w:p>
    <w:sectPr w:rsidR="00C91D47" w:rsidSect="00C91D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1C" w:rsidRDefault="00C55C1C">
      <w:r>
        <w:separator/>
      </w:r>
    </w:p>
  </w:endnote>
  <w:endnote w:type="continuationSeparator" w:id="0">
    <w:p w:rsidR="00C55C1C" w:rsidRDefault="00C5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1C" w:rsidRDefault="00C55C1C">
      <w:r>
        <w:separator/>
      </w:r>
    </w:p>
  </w:footnote>
  <w:footnote w:type="continuationSeparator" w:id="0">
    <w:p w:rsidR="00C55C1C" w:rsidRDefault="00C5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107C1"/>
    <w:multiLevelType w:val="hybridMultilevel"/>
    <w:tmpl w:val="543E4742"/>
    <w:lvl w:ilvl="0" w:tplc="40C64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2E0F8C">
      <w:start w:val="1"/>
      <w:numFmt w:val="lowerLetter"/>
      <w:lvlText w:val="%2."/>
      <w:lvlJc w:val="left"/>
      <w:pPr>
        <w:ind w:left="1440" w:hanging="360"/>
      </w:pPr>
    </w:lvl>
    <w:lvl w:ilvl="2" w:tplc="C568DF96">
      <w:start w:val="1"/>
      <w:numFmt w:val="lowerRoman"/>
      <w:lvlText w:val="%3."/>
      <w:lvlJc w:val="right"/>
      <w:pPr>
        <w:ind w:left="2160" w:hanging="180"/>
      </w:pPr>
    </w:lvl>
    <w:lvl w:ilvl="3" w:tplc="0EA082B4">
      <w:start w:val="1"/>
      <w:numFmt w:val="decimal"/>
      <w:lvlText w:val="%4."/>
      <w:lvlJc w:val="left"/>
      <w:pPr>
        <w:ind w:left="2880" w:hanging="360"/>
      </w:pPr>
    </w:lvl>
    <w:lvl w:ilvl="4" w:tplc="C5F272D4">
      <w:start w:val="1"/>
      <w:numFmt w:val="lowerLetter"/>
      <w:lvlText w:val="%5."/>
      <w:lvlJc w:val="left"/>
      <w:pPr>
        <w:ind w:left="3600" w:hanging="360"/>
      </w:pPr>
    </w:lvl>
    <w:lvl w:ilvl="5" w:tplc="C302A49E">
      <w:start w:val="1"/>
      <w:numFmt w:val="lowerRoman"/>
      <w:lvlText w:val="%6."/>
      <w:lvlJc w:val="right"/>
      <w:pPr>
        <w:ind w:left="4320" w:hanging="180"/>
      </w:pPr>
    </w:lvl>
    <w:lvl w:ilvl="6" w:tplc="C7906A76">
      <w:start w:val="1"/>
      <w:numFmt w:val="decimal"/>
      <w:lvlText w:val="%7."/>
      <w:lvlJc w:val="left"/>
      <w:pPr>
        <w:ind w:left="5040" w:hanging="360"/>
      </w:pPr>
    </w:lvl>
    <w:lvl w:ilvl="7" w:tplc="930CD7A2">
      <w:start w:val="1"/>
      <w:numFmt w:val="lowerLetter"/>
      <w:lvlText w:val="%8."/>
      <w:lvlJc w:val="left"/>
      <w:pPr>
        <w:ind w:left="5760" w:hanging="360"/>
      </w:pPr>
    </w:lvl>
    <w:lvl w:ilvl="8" w:tplc="19E6E5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D47"/>
    <w:rsid w:val="000A79F1"/>
    <w:rsid w:val="00103E99"/>
    <w:rsid w:val="002515AA"/>
    <w:rsid w:val="00375BAC"/>
    <w:rsid w:val="003A052B"/>
    <w:rsid w:val="003E06F2"/>
    <w:rsid w:val="004261B7"/>
    <w:rsid w:val="00516995"/>
    <w:rsid w:val="005E2E4C"/>
    <w:rsid w:val="005E6897"/>
    <w:rsid w:val="006D55D5"/>
    <w:rsid w:val="0074186B"/>
    <w:rsid w:val="0082168F"/>
    <w:rsid w:val="00931F8A"/>
    <w:rsid w:val="00B14D71"/>
    <w:rsid w:val="00C55C1C"/>
    <w:rsid w:val="00C91D47"/>
    <w:rsid w:val="00CC20B3"/>
    <w:rsid w:val="00CE7E78"/>
    <w:rsid w:val="00CF6A9D"/>
    <w:rsid w:val="00D21096"/>
    <w:rsid w:val="00D41269"/>
    <w:rsid w:val="00DF1549"/>
    <w:rsid w:val="00DF4D14"/>
    <w:rsid w:val="00E36F6F"/>
    <w:rsid w:val="00FC0D41"/>
    <w:rsid w:val="00FD1A4D"/>
    <w:rsid w:val="00FF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91D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91D4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91D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91D4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91D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91D4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91D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91D4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91D4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C91D4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91D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C91D4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91D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91D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91D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91D4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91D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91D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91D47"/>
  </w:style>
  <w:style w:type="paragraph" w:styleId="a4">
    <w:name w:val="Title"/>
    <w:basedOn w:val="a"/>
    <w:next w:val="a"/>
    <w:link w:val="a5"/>
    <w:uiPriority w:val="10"/>
    <w:qFormat/>
    <w:rsid w:val="00C91D4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91D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91D4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91D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1D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1D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91D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91D4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C91D47"/>
  </w:style>
  <w:style w:type="paragraph" w:customStyle="1" w:styleId="10">
    <w:name w:val="Нижний колонтитул1"/>
    <w:basedOn w:val="a"/>
    <w:link w:val="Caption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91D4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91D4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91D47"/>
  </w:style>
  <w:style w:type="table" w:customStyle="1" w:styleId="TableGridLight">
    <w:name w:val="Table Grid Light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C91D4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91D4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91D4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91D47"/>
    <w:rPr>
      <w:sz w:val="18"/>
    </w:rPr>
  </w:style>
  <w:style w:type="character" w:styleId="ad">
    <w:name w:val="footnote reference"/>
    <w:basedOn w:val="a0"/>
    <w:uiPriority w:val="99"/>
    <w:unhideWhenUsed/>
    <w:rsid w:val="00C91D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91D4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C91D47"/>
    <w:rPr>
      <w:sz w:val="20"/>
    </w:rPr>
  </w:style>
  <w:style w:type="character" w:styleId="af0">
    <w:name w:val="endnote reference"/>
    <w:basedOn w:val="a0"/>
    <w:uiPriority w:val="99"/>
    <w:semiHidden/>
    <w:unhideWhenUsed/>
    <w:rsid w:val="00C91D4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91D47"/>
    <w:pPr>
      <w:spacing w:after="57"/>
    </w:pPr>
  </w:style>
  <w:style w:type="paragraph" w:styleId="22">
    <w:name w:val="toc 2"/>
    <w:basedOn w:val="a"/>
    <w:next w:val="a"/>
    <w:uiPriority w:val="39"/>
    <w:unhideWhenUsed/>
    <w:rsid w:val="00C91D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1D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1D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1D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1D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1D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1D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1D47"/>
    <w:pPr>
      <w:spacing w:after="57"/>
      <w:ind w:left="2268"/>
    </w:pPr>
  </w:style>
  <w:style w:type="paragraph" w:styleId="af1">
    <w:name w:val="TOC Heading"/>
    <w:uiPriority w:val="39"/>
    <w:unhideWhenUsed/>
    <w:rsid w:val="00C91D47"/>
  </w:style>
  <w:style w:type="paragraph" w:styleId="af2">
    <w:name w:val="table of figures"/>
    <w:basedOn w:val="a"/>
    <w:next w:val="a"/>
    <w:uiPriority w:val="99"/>
    <w:unhideWhenUsed/>
    <w:rsid w:val="00C91D47"/>
  </w:style>
  <w:style w:type="paragraph" w:styleId="af3">
    <w:name w:val="Balloon Text"/>
    <w:basedOn w:val="a"/>
    <w:link w:val="af4"/>
    <w:uiPriority w:val="99"/>
    <w:semiHidden/>
    <w:unhideWhenUsed/>
    <w:qFormat/>
    <w:rsid w:val="00C91D47"/>
    <w:rPr>
      <w:rFonts w:ascii="Tahoma" w:hAnsi="Tahoma" w:cs="Tahoma"/>
      <w:sz w:val="16"/>
      <w:szCs w:val="16"/>
    </w:rPr>
  </w:style>
  <w:style w:type="table" w:styleId="af5">
    <w:name w:val="Table Grid"/>
    <w:basedOn w:val="a1"/>
    <w:qFormat/>
    <w:rsid w:val="00C91D4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C91D4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99"/>
    <w:unhideWhenUsed/>
    <w:rsid w:val="00C9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21044-EE3A-453E-8E5D-209DDF14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www</cp:lastModifiedBy>
  <cp:revision>18</cp:revision>
  <dcterms:created xsi:type="dcterms:W3CDTF">2024-11-13T12:48:00Z</dcterms:created>
  <dcterms:modified xsi:type="dcterms:W3CDTF">2024-11-18T12:05:00Z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9F8A7C1E3FA64D4B823836CA0DAF1380</vt:lpwstr>
  </property>
</Properties>
</file>